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4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№10. Тема: «Анемии: железодефицитная анемия»</w:t>
      </w:r>
    </w:p>
    <w:p w:rsidR="00F04154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154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9C8">
        <w:rPr>
          <w:rFonts w:ascii="Times New Roman" w:hAnsi="Times New Roman"/>
          <w:b/>
          <w:color w:val="000000"/>
          <w:sz w:val="28"/>
          <w:szCs w:val="28"/>
          <w:u w:val="single"/>
        </w:rPr>
        <w:t>Цель занятия:</w:t>
      </w:r>
      <w:r w:rsidRPr="00292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766">
        <w:rPr>
          <w:rFonts w:ascii="Times New Roman" w:hAnsi="Times New Roman"/>
          <w:color w:val="000000"/>
          <w:sz w:val="28"/>
          <w:szCs w:val="28"/>
        </w:rPr>
        <w:t xml:space="preserve">формирование профессиональных знаний и умений диагностики и назначения лечения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анемии.</w:t>
      </w:r>
    </w:p>
    <w:p w:rsidR="00F04154" w:rsidRPr="002929C8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154" w:rsidRPr="0008628B" w:rsidRDefault="00F04154" w:rsidP="00F04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b/>
          <w:sz w:val="24"/>
          <w:szCs w:val="24"/>
        </w:rPr>
        <w:t>Уровень подготовленности по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4154" w:rsidRDefault="00F04154" w:rsidP="00F0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6">
        <w:rPr>
          <w:rFonts w:ascii="Times New Roman" w:hAnsi="Times New Roman" w:cs="Times New Roman"/>
          <w:sz w:val="24"/>
          <w:szCs w:val="24"/>
        </w:rPr>
        <w:t xml:space="preserve">В результате изучения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3526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154" w:rsidRPr="00BC3526" w:rsidRDefault="00F04154" w:rsidP="00F0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C3526">
        <w:rPr>
          <w:rFonts w:ascii="Times New Roman" w:hAnsi="Times New Roman" w:cs="Times New Roman"/>
          <w:sz w:val="24"/>
          <w:szCs w:val="24"/>
        </w:rPr>
        <w:t>: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-производить расспрос и осмотр больных с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анемией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поставить предварительный диагноз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анемии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-назначать и интерпретировать результаты лабораторных и инструментальных методов исследования.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-назначить лечение.</w:t>
      </w:r>
    </w:p>
    <w:p w:rsidR="00F04154" w:rsidRPr="00BC3526" w:rsidRDefault="00F04154" w:rsidP="00F0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C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этиологию, патогенез, клинику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анемии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алгоритм обследования пациента при подозрении на </w:t>
      </w:r>
      <w:r>
        <w:rPr>
          <w:rFonts w:ascii="Times New Roman" w:hAnsi="Times New Roman" w:cs="Times New Roman"/>
          <w:sz w:val="24"/>
          <w:szCs w:val="24"/>
        </w:rPr>
        <w:t>железодефицитную анемию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диагностические признаки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-лечение</w:t>
      </w:r>
    </w:p>
    <w:p w:rsidR="00F04154" w:rsidRPr="002929C8" w:rsidRDefault="00F04154" w:rsidP="00F0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долж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</w:t>
      </w: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быть выработан навык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сбора жалоб и анамнеза</w:t>
      </w:r>
    </w:p>
    <w:p w:rsidR="00F04154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осмотра больных </w:t>
      </w:r>
      <w:r>
        <w:rPr>
          <w:rFonts w:ascii="Times New Roman" w:hAnsi="Times New Roman" w:cs="Times New Roman"/>
          <w:sz w:val="24"/>
          <w:szCs w:val="24"/>
        </w:rPr>
        <w:t>с железодефицитной анемией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постановки предварительного диагноза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анемии с указанием степени тяжести</w:t>
      </w:r>
    </w:p>
    <w:p w:rsidR="00F04154" w:rsidRPr="0008628B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составления плана обследования больных с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анемией</w:t>
      </w:r>
    </w:p>
    <w:p w:rsidR="00F04154" w:rsidRPr="002929C8" w:rsidRDefault="00F04154" w:rsidP="00F04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-лечение больных с </w:t>
      </w:r>
      <w:r>
        <w:rPr>
          <w:rFonts w:ascii="Times New Roman" w:hAnsi="Times New Roman" w:cs="Times New Roman"/>
          <w:sz w:val="24"/>
          <w:szCs w:val="24"/>
        </w:rPr>
        <w:t>железодефицитной анемией</w:t>
      </w:r>
    </w:p>
    <w:p w:rsidR="00F04154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154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F04154" w:rsidRPr="00787766" w:rsidRDefault="00F04154" w:rsidP="00F04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Анемия: определение, классификация.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Особенности метаболизма железа</w:t>
      </w:r>
      <w:r w:rsidRPr="00C94986">
        <w:rPr>
          <w:color w:val="000000"/>
          <w:sz w:val="27"/>
          <w:szCs w:val="27"/>
          <w:vertAlign w:val="subscript"/>
        </w:rPr>
        <w:t xml:space="preserve"> </w:t>
      </w:r>
      <w:r>
        <w:rPr>
          <w:color w:val="000000"/>
          <w:sz w:val="27"/>
          <w:szCs w:val="27"/>
        </w:rPr>
        <w:t>в организме человека: показатели содержания железа в организме и учет потери железа.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Стадии </w:t>
      </w:r>
      <w:proofErr w:type="spellStart"/>
      <w:r>
        <w:rPr>
          <w:color w:val="000000"/>
          <w:sz w:val="27"/>
          <w:szCs w:val="27"/>
        </w:rPr>
        <w:t>железодефицита</w:t>
      </w:r>
      <w:proofErr w:type="spellEnd"/>
      <w:r>
        <w:rPr>
          <w:color w:val="000000"/>
          <w:sz w:val="27"/>
          <w:szCs w:val="27"/>
        </w:rPr>
        <w:t>: последовательность появления, диагностика.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Железодефицитная анемия: определение, этиология, патогенез.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Железодефицитная анемия: клинические синдромы, их патогенез и последовательность развития.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Железодефицитная анемия: диагностика, лечебная тактика.</w:t>
      </w:r>
    </w:p>
    <w:p w:rsidR="00F04154" w:rsidRDefault="00F04154" w:rsidP="00F04154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Железодефицитная анемия: первичная и вторичная профилактика.</w:t>
      </w:r>
    </w:p>
    <w:p w:rsidR="00F04154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4154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4154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4154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4154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4154" w:rsidRPr="00C94986" w:rsidRDefault="00F04154" w:rsidP="00F0415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0000" w:rsidRDefault="00F04154" w:rsidP="00F041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9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формирования практических умений ознакомьтесь с примером разбора ситуационной задачи:</w:t>
      </w:r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>Больная 18 лет поступила с жалобами на слабость, сердцебиение и одышку при умеренной физической нагрузке, обмороки, также отмечает ломкость ногтей, затруднение глотания, недержание мочи.</w:t>
      </w:r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>Из анамнеза известно, что менструация с 13 лет по шесть дней, обильная. В течение 8 лет строгая вегетарианка.</w:t>
      </w:r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 xml:space="preserve">Объективно: бледность, сухость кожи, </w:t>
      </w:r>
      <w:proofErr w:type="spellStart"/>
      <w:r w:rsidRPr="004B4A1F">
        <w:rPr>
          <w:rFonts w:ascii="Times New Roman" w:hAnsi="Times New Roman"/>
          <w:sz w:val="28"/>
          <w:szCs w:val="28"/>
        </w:rPr>
        <w:t>ложкообразные</w:t>
      </w:r>
      <w:proofErr w:type="spellEnd"/>
      <w:r w:rsidRPr="004B4A1F">
        <w:rPr>
          <w:rFonts w:ascii="Times New Roman" w:hAnsi="Times New Roman"/>
          <w:sz w:val="28"/>
          <w:szCs w:val="28"/>
        </w:rPr>
        <w:t xml:space="preserve"> ногти. В лёгких везикулярное дыхание. Тоны сердца приглушены, дующий систолический шум на верхушке. Пульс - 100 ударов в минуту. АД - 100/80 мм </w:t>
      </w:r>
      <w:proofErr w:type="spellStart"/>
      <w:r w:rsidRPr="004B4A1F">
        <w:rPr>
          <w:rFonts w:ascii="Times New Roman" w:hAnsi="Times New Roman"/>
          <w:sz w:val="28"/>
          <w:szCs w:val="28"/>
        </w:rPr>
        <w:t>рт.ст</w:t>
      </w:r>
      <w:proofErr w:type="spellEnd"/>
      <w:r w:rsidRPr="004B4A1F">
        <w:rPr>
          <w:rFonts w:ascii="Times New Roman" w:hAnsi="Times New Roman"/>
          <w:sz w:val="28"/>
          <w:szCs w:val="28"/>
        </w:rPr>
        <w:t xml:space="preserve">. Печень и селезёнка не увеличены. </w:t>
      </w:r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>При о</w:t>
      </w:r>
      <w:r w:rsidR="004B4A1F">
        <w:rPr>
          <w:rFonts w:ascii="Times New Roman" w:hAnsi="Times New Roman"/>
          <w:sz w:val="28"/>
          <w:szCs w:val="28"/>
        </w:rPr>
        <w:t>б</w:t>
      </w:r>
      <w:r w:rsidRPr="004B4A1F">
        <w:rPr>
          <w:rFonts w:ascii="Times New Roman" w:hAnsi="Times New Roman"/>
          <w:sz w:val="28"/>
          <w:szCs w:val="28"/>
        </w:rPr>
        <w:t>следовании:</w:t>
      </w:r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1F">
        <w:rPr>
          <w:rFonts w:ascii="Times New Roman" w:hAnsi="Times New Roman"/>
          <w:sz w:val="28"/>
          <w:szCs w:val="28"/>
          <w:u w:val="single"/>
        </w:rPr>
        <w:t>Общий анализ крови:</w:t>
      </w:r>
      <w:r w:rsidRPr="004B4A1F">
        <w:rPr>
          <w:rFonts w:ascii="Times New Roman" w:hAnsi="Times New Roman"/>
          <w:sz w:val="28"/>
          <w:szCs w:val="28"/>
        </w:rPr>
        <w:t xml:space="preserve"> гемоглобин - 85 г/л, эритроциты - 3,5х10</w:t>
      </w:r>
      <w:r w:rsidRPr="004B4A1F">
        <w:rPr>
          <w:rFonts w:ascii="Times New Roman" w:hAnsi="Times New Roman"/>
          <w:sz w:val="28"/>
          <w:szCs w:val="28"/>
          <w:vertAlign w:val="superscript"/>
        </w:rPr>
        <w:t>12</w:t>
      </w:r>
      <w:r w:rsidRPr="004B4A1F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4B4A1F">
        <w:rPr>
          <w:rFonts w:ascii="Times New Roman" w:hAnsi="Times New Roman"/>
          <w:sz w:val="28"/>
          <w:szCs w:val="28"/>
        </w:rPr>
        <w:t>ретикулоциты</w:t>
      </w:r>
      <w:proofErr w:type="spellEnd"/>
      <w:r w:rsidRPr="004B4A1F">
        <w:rPr>
          <w:rFonts w:ascii="Times New Roman" w:hAnsi="Times New Roman"/>
          <w:sz w:val="28"/>
          <w:szCs w:val="28"/>
        </w:rPr>
        <w:t xml:space="preserve"> - 12%, лейкоциты - 5,6х10</w:t>
      </w:r>
      <w:r w:rsidRPr="004B4A1F">
        <w:rPr>
          <w:rFonts w:ascii="Times New Roman" w:hAnsi="Times New Roman"/>
          <w:sz w:val="28"/>
          <w:szCs w:val="28"/>
          <w:vertAlign w:val="superscript"/>
        </w:rPr>
        <w:t>9</w:t>
      </w:r>
      <w:r w:rsidRPr="004B4A1F">
        <w:rPr>
          <w:rFonts w:ascii="Times New Roman" w:hAnsi="Times New Roman"/>
          <w:sz w:val="28"/>
          <w:szCs w:val="28"/>
        </w:rPr>
        <w:t>/л (</w:t>
      </w:r>
      <w:proofErr w:type="spellStart"/>
      <w:r w:rsidRPr="004B4A1F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4B4A1F">
        <w:rPr>
          <w:rFonts w:ascii="Times New Roman" w:hAnsi="Times New Roman"/>
          <w:sz w:val="28"/>
          <w:szCs w:val="28"/>
        </w:rPr>
        <w:t xml:space="preserve"> - 4%, сегментоядерные - 62%, эозинофилы - 1%, базофилы - 0, лимфоциты - 27%, моноциты - 6%), СОЭ - 20 мм/ч. Отмечается </w:t>
      </w:r>
      <w:proofErr w:type="spellStart"/>
      <w:r w:rsidRPr="004B4A1F">
        <w:rPr>
          <w:rFonts w:ascii="Times New Roman" w:hAnsi="Times New Roman"/>
          <w:sz w:val="28"/>
          <w:szCs w:val="28"/>
        </w:rPr>
        <w:t>микроцитоз</w:t>
      </w:r>
      <w:proofErr w:type="spellEnd"/>
      <w:r w:rsidRPr="004B4A1F">
        <w:rPr>
          <w:rFonts w:ascii="Times New Roman" w:hAnsi="Times New Roman"/>
          <w:sz w:val="28"/>
          <w:szCs w:val="28"/>
        </w:rPr>
        <w:t>.</w:t>
      </w:r>
      <w:proofErr w:type="gramEnd"/>
    </w:p>
    <w:p w:rsidR="00F04154" w:rsidRPr="004B4A1F" w:rsidRDefault="00F04154" w:rsidP="00F04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154" w:rsidRPr="004B4A1F" w:rsidRDefault="00F04154" w:rsidP="004B4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>Вопросы к задаче:</w:t>
      </w:r>
    </w:p>
    <w:p w:rsidR="00F04154" w:rsidRPr="004B4A1F" w:rsidRDefault="00F04154" w:rsidP="004B4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 xml:space="preserve">1. 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диагноз.</w:t>
      </w:r>
    </w:p>
    <w:p w:rsidR="00F04154" w:rsidRPr="004B4A1F" w:rsidRDefault="00F04154" w:rsidP="004B4A1F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Ответ: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Железодефицитная анемия, среднетяжёлое течение. Анемическая миокардиодистрофия. НК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I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ст. (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II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ФК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NYHA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).</w:t>
      </w:r>
    </w:p>
    <w:p w:rsidR="00F04154" w:rsidRPr="004B4A1F" w:rsidRDefault="00F04154" w:rsidP="004B4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2. 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>Обоснуйте диагноз.</w:t>
      </w:r>
    </w:p>
    <w:p w:rsidR="00F04154" w:rsidRPr="004B4A1F" w:rsidRDefault="00F04154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u w:val="single"/>
        </w:rPr>
      </w:pPr>
      <w:r w:rsidRPr="004B4A1F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u w:val="single"/>
        </w:rPr>
        <w:t xml:space="preserve"> </w:t>
      </w:r>
    </w:p>
    <w:p w:rsidR="00F04154" w:rsidRPr="004B4A1F" w:rsidRDefault="004B4A1F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1. </w:t>
      </w:r>
      <w:r w:rsidR="00F04154"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Диагноз железодефицитной анемии поставлен на основании:</w:t>
      </w:r>
    </w:p>
    <w:p w:rsidR="00F04154" w:rsidRPr="004B4A1F" w:rsidRDefault="00F04154" w:rsidP="004B4A1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данных анамнеза: обильные, длительные менструации, строгое вегетарианство; </w:t>
      </w:r>
    </w:p>
    <w:p w:rsidR="00F04154" w:rsidRPr="004B4A1F" w:rsidRDefault="00F04154" w:rsidP="004B4A1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наличия характерных синдромов: </w:t>
      </w:r>
    </w:p>
    <w:p w:rsidR="00F04154" w:rsidRPr="004B4A1F" w:rsidRDefault="00F04154" w:rsidP="004B4A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proofErr w:type="gram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гематологического</w:t>
      </w:r>
      <w:proofErr w:type="gram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(признаки гипохромной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микроцитарной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анемии в общем анализе крови);</w:t>
      </w:r>
    </w:p>
    <w:p w:rsidR="00F04154" w:rsidRPr="004B4A1F" w:rsidRDefault="00F04154" w:rsidP="004B4A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сидеропенического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 (</w:t>
      </w:r>
      <w:r w:rsidRPr="004B4A1F">
        <w:rPr>
          <w:rFonts w:ascii="Times New Roman" w:hAnsi="Times New Roman"/>
          <w:sz w:val="28"/>
          <w:szCs w:val="28"/>
        </w:rPr>
        <w:t xml:space="preserve">ломкость ногтей, затруднение глотания, недержание мочи, сухость кожи, </w:t>
      </w:r>
      <w:proofErr w:type="spellStart"/>
      <w:r w:rsidRPr="004B4A1F">
        <w:rPr>
          <w:rFonts w:ascii="Times New Roman" w:hAnsi="Times New Roman"/>
          <w:sz w:val="28"/>
          <w:szCs w:val="28"/>
        </w:rPr>
        <w:t>ложкообразные</w:t>
      </w:r>
      <w:proofErr w:type="spellEnd"/>
      <w:r w:rsidRPr="004B4A1F">
        <w:rPr>
          <w:rFonts w:ascii="Times New Roman" w:hAnsi="Times New Roman"/>
          <w:sz w:val="28"/>
          <w:szCs w:val="28"/>
        </w:rPr>
        <w:t xml:space="preserve"> ногти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);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 </w:t>
      </w:r>
    </w:p>
    <w:p w:rsidR="00F04154" w:rsidRPr="004B4A1F" w:rsidRDefault="00F04154" w:rsidP="004B4A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</w:pP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циркуляторно-анемического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 (</w:t>
      </w:r>
      <w:r w:rsidRPr="004B4A1F">
        <w:rPr>
          <w:rFonts w:ascii="Times New Roman" w:hAnsi="Times New Roman"/>
          <w:sz w:val="28"/>
          <w:szCs w:val="28"/>
        </w:rPr>
        <w:t xml:space="preserve">слабость, сердцебиение и одышку при умеренной физической нагрузке, бледность кожи, тоны сердца приглушены, дующий систолический шум на верхушке, пульс - 100 ударов в минуту, АД - 100/80 мм </w:t>
      </w:r>
      <w:proofErr w:type="spellStart"/>
      <w:r w:rsidRPr="004B4A1F">
        <w:rPr>
          <w:rFonts w:ascii="Times New Roman" w:hAnsi="Times New Roman"/>
          <w:sz w:val="28"/>
          <w:szCs w:val="28"/>
        </w:rPr>
        <w:t>рт</w:t>
      </w:r>
      <w:proofErr w:type="gramStart"/>
      <w:r w:rsidRPr="004B4A1F">
        <w:rPr>
          <w:rFonts w:ascii="Times New Roman" w:hAnsi="Times New Roman"/>
          <w:sz w:val="28"/>
          <w:szCs w:val="28"/>
        </w:rPr>
        <w:t>.с</w:t>
      </w:r>
      <w:proofErr w:type="gramEnd"/>
      <w:r w:rsidRPr="004B4A1F">
        <w:rPr>
          <w:rFonts w:ascii="Times New Roman" w:hAnsi="Times New Roman"/>
          <w:sz w:val="28"/>
          <w:szCs w:val="28"/>
        </w:rPr>
        <w:t>т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).</w:t>
      </w:r>
    </w:p>
    <w:p w:rsidR="00F04154" w:rsidRPr="004B4A1F" w:rsidRDefault="004B4A1F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2. </w:t>
      </w:r>
      <w:r w:rsidR="00F04154"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Степень тяжести течения анемии установлена на основании уровня гемоглобина (85 г/л).</w:t>
      </w:r>
    </w:p>
    <w:p w:rsidR="00F04154" w:rsidRPr="004B4A1F" w:rsidRDefault="004B4A1F" w:rsidP="004B4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3. </w:t>
      </w:r>
      <w:r w:rsidR="00F04154"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Анемическая миокардиодистрофия диагностирована на основании жалоб (</w:t>
      </w:r>
      <w:r w:rsidR="00F04154" w:rsidRPr="004B4A1F">
        <w:rPr>
          <w:rFonts w:ascii="Times New Roman" w:hAnsi="Times New Roman"/>
          <w:sz w:val="28"/>
          <w:szCs w:val="28"/>
        </w:rPr>
        <w:t>сердцебиение и одышка при умеренной физической нагрузке), данных осмотра (приглушение тонов сердца,  дующий систолический шум на верхушке, пульс - 100 ударов в минуту).</w:t>
      </w:r>
    </w:p>
    <w:p w:rsidR="004B4A1F" w:rsidRPr="004B4A1F" w:rsidRDefault="004B4A1F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1F">
        <w:rPr>
          <w:rFonts w:ascii="Times New Roman" w:hAnsi="Times New Roman"/>
          <w:sz w:val="28"/>
          <w:szCs w:val="28"/>
        </w:rPr>
        <w:t xml:space="preserve">3. 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:rsidR="004B4A1F" w:rsidRPr="004B4A1F" w:rsidRDefault="004B4A1F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необходимо определение в крови уровней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ферритина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, сывороточного железа, показателей НТЖ, ОЖСС (подтверждение железодефицитного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lastRenderedPageBreak/>
        <w:t xml:space="preserve">характера анемии - определение уровней железа депо, транспортного железа); выполнение общего анализа мочи, ЭГДС с биопсией с  морфологическим исследованием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биоптата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(оценка состояние слизистой оболочки кишечника, 12-пертной кишки, выявление признаков атрофии), УЗИ органов брюшной полости, рентгенографии органов грудной клетки, анализа кала на скрытую кровь, консультации гинеколога (обильные, длительные менструации).  ЭКГ,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ЭхоКГ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(с целью оценки степени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миокардиодистофии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на фоне анемии).</w:t>
      </w:r>
    </w:p>
    <w:p w:rsidR="004B4A1F" w:rsidRPr="004B4A1F" w:rsidRDefault="004B4A1F" w:rsidP="004B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4. 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>Определите тактику ведения пациента.</w:t>
      </w:r>
    </w:p>
    <w:p w:rsidR="004B4A1F" w:rsidRPr="004B4A1F" w:rsidRDefault="004B4A1F" w:rsidP="004B4A1F">
      <w:pPr>
        <w:spacing w:after="0" w:line="240" w:lineRule="auto"/>
        <w:jc w:val="both"/>
        <w:rPr>
          <w:sz w:val="28"/>
          <w:szCs w:val="28"/>
        </w:rPr>
      </w:pPr>
      <w:r w:rsidRPr="004B4A1F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  <w:r w:rsidRPr="004B4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пациентке показана терапия препаратами железа (прежде всего, двухвалентного) в суточной дозе не менее 200 мг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перорально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ежедневно до нормализации уровня гемоглобина (до 6 месяцев). Вторым этапом лечения является насыщающая терапия (восстановление железа депо): ежедневный приём препаратов железа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перорально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в половинной дозе под контролем уровня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ферритина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. Третьим этапом (профилактика) является поддерживающая терапия – сохранение нормального уровня всех фондов железа: при </w:t>
      </w:r>
      <w:proofErr w:type="spellStart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гиперполименорее</w:t>
      </w:r>
      <w:proofErr w:type="spellEnd"/>
      <w:r w:rsidRPr="004B4A1F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препараты железа в дозе 40-60 мг/сутки в течение 6-7 дней после окончания менструации.</w:t>
      </w:r>
    </w:p>
    <w:sectPr w:rsidR="004B4A1F" w:rsidRPr="004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8A5"/>
    <w:multiLevelType w:val="hybridMultilevel"/>
    <w:tmpl w:val="36720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4FC"/>
    <w:multiLevelType w:val="hybridMultilevel"/>
    <w:tmpl w:val="70C2427C"/>
    <w:lvl w:ilvl="0" w:tplc="D5E43A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54"/>
    <w:rsid w:val="004B4A1F"/>
    <w:rsid w:val="00F0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5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2020-03-24T15:12:00Z</dcterms:created>
  <dcterms:modified xsi:type="dcterms:W3CDTF">2020-03-24T15:27:00Z</dcterms:modified>
</cp:coreProperties>
</file>